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73" w:rsidRPr="00783C73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83C73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</w:rPr>
        <w:t xml:space="preserve">ORDIN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</w:rPr>
        <w:t>nr</w:t>
      </w:r>
      <w:proofErr w:type="spellEnd"/>
      <w:r w:rsidRPr="00783C73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</w:rPr>
        <w:t>. 1.070/94/2.087/2020</w:t>
      </w:r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privind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stabilirea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categoriilor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de personal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și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mărimea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concretă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a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sporului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pentru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condiții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de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pericol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deosebit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acordat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în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baza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prevederilor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 </w:t>
      </w:r>
      <w:hyperlink r:id="rId5" w:history="1">
        <w:r w:rsidRPr="00783C73">
          <w:rPr>
            <w:rFonts w:ascii="Verdana" w:eastAsia="Times New Roman" w:hAnsi="Verdana" w:cs="Times New Roman"/>
            <w:b/>
            <w:bCs/>
            <w:color w:val="386897"/>
            <w:sz w:val="17"/>
            <w:szCs w:val="17"/>
            <w:bdr w:val="none" w:sz="0" w:space="0" w:color="auto" w:frame="1"/>
          </w:rPr>
          <w:t xml:space="preserve">art. 7 </w:t>
        </w:r>
        <w:proofErr w:type="spellStart"/>
        <w:r w:rsidRPr="00783C73">
          <w:rPr>
            <w:rFonts w:ascii="Verdana" w:eastAsia="Times New Roman" w:hAnsi="Verdana" w:cs="Times New Roman"/>
            <w:b/>
            <w:bCs/>
            <w:color w:val="386897"/>
            <w:sz w:val="17"/>
            <w:szCs w:val="17"/>
            <w:bdr w:val="none" w:sz="0" w:space="0" w:color="auto" w:frame="1"/>
          </w:rPr>
          <w:t>alin</w:t>
        </w:r>
        <w:proofErr w:type="spellEnd"/>
        <w:r w:rsidRPr="00783C73">
          <w:rPr>
            <w:rFonts w:ascii="Verdana" w:eastAsia="Times New Roman" w:hAnsi="Verdana" w:cs="Times New Roman"/>
            <w:b/>
            <w:bCs/>
            <w:color w:val="386897"/>
            <w:sz w:val="17"/>
            <w:szCs w:val="17"/>
            <w:bdr w:val="none" w:sz="0" w:space="0" w:color="auto" w:frame="1"/>
          </w:rPr>
          <w:t xml:space="preserve">. (1) </w:t>
        </w:r>
        <w:proofErr w:type="gramStart"/>
        <w:r w:rsidRPr="00783C73">
          <w:rPr>
            <w:rFonts w:ascii="Verdana" w:eastAsia="Times New Roman" w:hAnsi="Verdana" w:cs="Times New Roman"/>
            <w:b/>
            <w:bCs/>
            <w:color w:val="386897"/>
            <w:sz w:val="17"/>
            <w:szCs w:val="17"/>
            <w:bdr w:val="none" w:sz="0" w:space="0" w:color="auto" w:frame="1"/>
          </w:rPr>
          <w:t>din</w:t>
        </w:r>
        <w:proofErr w:type="gramEnd"/>
        <w:r w:rsidRPr="00783C73">
          <w:rPr>
            <w:rFonts w:ascii="Verdana" w:eastAsia="Times New Roman" w:hAnsi="Verdana" w:cs="Times New Roman"/>
            <w:b/>
            <w:bCs/>
            <w:color w:val="386897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Verdana" w:eastAsia="Times New Roman" w:hAnsi="Verdana" w:cs="Times New Roman"/>
            <w:b/>
            <w:bCs/>
            <w:color w:val="386897"/>
            <w:sz w:val="17"/>
            <w:szCs w:val="17"/>
            <w:bdr w:val="none" w:sz="0" w:space="0" w:color="auto" w:frame="1"/>
          </w:rPr>
          <w:t>Legea</w:t>
        </w:r>
        <w:proofErr w:type="spellEnd"/>
        <w:r w:rsidRPr="00783C73">
          <w:rPr>
            <w:rFonts w:ascii="Verdana" w:eastAsia="Times New Roman" w:hAnsi="Verdana" w:cs="Times New Roman"/>
            <w:b/>
            <w:bCs/>
            <w:color w:val="386897"/>
            <w:sz w:val="17"/>
            <w:szCs w:val="17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Verdana" w:eastAsia="Times New Roman" w:hAnsi="Verdana" w:cs="Times New Roman"/>
            <w:b/>
            <w:bCs/>
            <w:color w:val="386897"/>
            <w:sz w:val="17"/>
            <w:szCs w:val="17"/>
            <w:bdr w:val="none" w:sz="0" w:space="0" w:color="auto" w:frame="1"/>
          </w:rPr>
          <w:t>nr</w:t>
        </w:r>
        <w:proofErr w:type="spellEnd"/>
        <w:r w:rsidRPr="00783C73">
          <w:rPr>
            <w:rFonts w:ascii="Verdana" w:eastAsia="Times New Roman" w:hAnsi="Verdana" w:cs="Times New Roman"/>
            <w:b/>
            <w:bCs/>
            <w:color w:val="386897"/>
            <w:sz w:val="17"/>
            <w:szCs w:val="17"/>
            <w:bdr w:val="none" w:sz="0" w:space="0" w:color="auto" w:frame="1"/>
          </w:rPr>
          <w:t>. 56/2020</w:t>
        </w:r>
      </w:hyperlink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 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pentru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recunoașterea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meritelor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personalului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medical participant la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acțiuni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medicale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împotriva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COVID-19</w:t>
      </w:r>
    </w:p>
    <w:tbl>
      <w:tblPr>
        <w:tblW w:w="925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242"/>
      </w:tblGrid>
      <w:tr w:rsidR="00783C73" w:rsidRPr="00783C73" w:rsidTr="00783C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C73" w:rsidRPr="00783C73" w:rsidRDefault="00783C73" w:rsidP="007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C73" w:rsidRPr="00783C73" w:rsidRDefault="00783C73" w:rsidP="00783C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</w:pPr>
            <w:r w:rsidRPr="00783C73">
              <w:rPr>
                <w:rFonts w:ascii="Verdana" w:eastAsia="Times New Roman" w:hAnsi="Symbol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</w:t>
            </w:r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 xml:space="preserve">  MINISTERUL SĂNĂTĂȚII </w:t>
            </w:r>
            <w:proofErr w:type="spellStart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Nr</w:t>
            </w:r>
            <w:proofErr w:type="spellEnd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 xml:space="preserve">. 1.070 din 11 </w:t>
            </w:r>
            <w:proofErr w:type="spellStart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iunie</w:t>
            </w:r>
            <w:proofErr w:type="spellEnd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 xml:space="preserve"> 2020</w:t>
            </w:r>
          </w:p>
          <w:p w:rsidR="00783C73" w:rsidRPr="00783C73" w:rsidRDefault="00783C73" w:rsidP="00783C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</w:pPr>
            <w:r w:rsidRPr="00783C73">
              <w:rPr>
                <w:rFonts w:ascii="Verdana" w:eastAsia="Times New Roman" w:hAnsi="Symbol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</w:t>
            </w:r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 xml:space="preserve">  MINISTERUL AFACERILOR INTERNE </w:t>
            </w:r>
            <w:proofErr w:type="spellStart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Nr</w:t>
            </w:r>
            <w:proofErr w:type="spellEnd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 xml:space="preserve">. 94 din 12 </w:t>
            </w:r>
            <w:proofErr w:type="spellStart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iunie</w:t>
            </w:r>
            <w:proofErr w:type="spellEnd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 xml:space="preserve"> 2020</w:t>
            </w:r>
          </w:p>
          <w:p w:rsidR="00783C73" w:rsidRPr="00783C73" w:rsidRDefault="00783C73" w:rsidP="007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73">
              <w:rPr>
                <w:rFonts w:ascii="Verdana" w:eastAsia="Times New Roman" w:hAnsi="Symbol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</w:t>
            </w:r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 xml:space="preserve">  MINISTERUL FINANȚELOR PUBLICE </w:t>
            </w:r>
            <w:proofErr w:type="spellStart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Nr</w:t>
            </w:r>
            <w:proofErr w:type="spellEnd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 xml:space="preserve">. 2.087 din 2 </w:t>
            </w:r>
            <w:proofErr w:type="spellStart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iulie</w:t>
            </w:r>
            <w:proofErr w:type="spellEnd"/>
            <w:r w:rsidRPr="00783C73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 xml:space="preserve"> 2020</w:t>
            </w:r>
          </w:p>
        </w:tc>
      </w:tr>
    </w:tbl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83C7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Publicat</w:t>
      </w:r>
      <w:proofErr w:type="spellEnd"/>
      <w:r w:rsidRPr="00783C7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83C7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în</w:t>
      </w:r>
      <w:proofErr w:type="spellEnd"/>
      <w:proofErr w:type="gramStart"/>
      <w:r w:rsidRPr="00783C7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 </w:t>
      </w:r>
      <w:r w:rsidRPr="00783C73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</w:rPr>
        <w:t>MONITORUL</w:t>
      </w:r>
      <w:proofErr w:type="gramEnd"/>
      <w:r w:rsidRPr="00783C73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</w:rPr>
        <w:t xml:space="preserve"> OFICIAL </w:t>
      </w:r>
      <w:proofErr w:type="spellStart"/>
      <w:r w:rsidRPr="00783C73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</w:rPr>
        <w:t>nr</w:t>
      </w:r>
      <w:proofErr w:type="spellEnd"/>
      <w:r w:rsidRPr="00783C73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</w:rPr>
        <w:t xml:space="preserve">. 586 din 3 </w:t>
      </w:r>
      <w:proofErr w:type="spellStart"/>
      <w:r w:rsidRPr="00783C73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</w:rPr>
        <w:t>iulie</w:t>
      </w:r>
      <w:proofErr w:type="spellEnd"/>
      <w:r w:rsidRPr="00783C73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</w:rPr>
        <w:t xml:space="preserve"> 2020</w:t>
      </w:r>
      <w:r w:rsidRPr="00783C7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br/>
      </w:r>
      <w:r w:rsidRPr="00783C7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br/>
      </w:r>
      <w:r w:rsidRPr="00783C7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br/>
      </w:r>
      <w:r w:rsidRPr="00783C7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Având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vedere</w:t>
      </w:r>
      <w:proofErr w:type="spellEnd"/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  <w:r w:rsidRPr="00783C73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</w:rPr>
        <w:t>–</w:t>
      </w:r>
      <w:proofErr w:type="gramEnd"/>
      <w:r w:rsidRPr="00783C73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Referatul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aprobare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al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Direcției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management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structuri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 NT 3.789/2020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  <w:r w:rsidRPr="00783C73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</w:rPr>
        <w:t>–</w:t>
      </w:r>
      <w:proofErr w:type="gramEnd"/>
      <w:r w:rsidRPr="00783C73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hyperlink r:id="rId6" w:history="1"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art. 2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alin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. (1)</w:t>
        </w:r>
      </w:hyperlink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hyperlink r:id="rId7" w:history="1"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art. 7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alin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. (1)</w:t>
        </w:r>
        <w:proofErr w:type="gram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-(</w:t>
        </w:r>
        <w:proofErr w:type="gram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3) din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Legea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nr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. 56/2020</w:t>
        </w:r>
      </w:hyperlink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recunoașterea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meritelor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medical participant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împotriva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COVID-19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  <w:r w:rsidRPr="00783C73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</w:rPr>
        <w:t>–</w:t>
      </w:r>
      <w:proofErr w:type="gramEnd"/>
      <w:r w:rsidRPr="00783C73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instrText xml:space="preserve"> HYPERLINK "http://legislatie.just.ro/Public/DetaliiDocumentAfis/225711" </w:instrTex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Legii-cadru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nr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. 153/2017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end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salarizarea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plătit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fonduri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  <w:r w:rsidRPr="00783C73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</w:rPr>
        <w:t>–</w:t>
      </w:r>
      <w:proofErr w:type="gramEnd"/>
      <w:r w:rsidRPr="00783C73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instrText xml:space="preserve"> HYPERLINK "http://legislatie.just.ro/Public/DetaliiDocumentAfis/203419" </w:instrTex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Hotărârii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Guvernului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nr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. 153/2018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end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aprobarea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instrText xml:space="preserve"> HYPERLINK "http://legislatie.just.ro/Public/DetaliiDocumentAfis/203420" </w:instrTex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Regulamentului-cadru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end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stabilirea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muncă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categoriilor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personal, 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mărimii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concrete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condiții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muncă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instrText xml:space="preserve"> HYPERLINK "http://legislatie.just.ro/Public/DetaliiDocumentAfis/225711" </w:instrTex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anexa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nr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. II la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Legea-cadru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nr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. 153/2017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end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salarizarea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plătit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fonduri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precum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condițiilor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acestuia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ocupațională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funcții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bugetare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„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Sănătate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asistență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“,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ulterioare,în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temeiul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hyperlink r:id="rId8" w:history="1"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art. 7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alin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. (3) </w:t>
        </w:r>
        <w:proofErr w:type="gram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din</w:t>
        </w:r>
        <w:proofErr w:type="gram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Legea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nr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. 56/2020</w:t>
        </w:r>
      </w:hyperlink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recunoașterea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meritelor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medical participant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împotriva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COVID-19, </w:t>
      </w:r>
      <w:hyperlink r:id="rId9" w:history="1"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art. 7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alin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. (4) </w:t>
        </w:r>
        <w:proofErr w:type="gram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din</w:t>
        </w:r>
        <w:proofErr w:type="gram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Hotărârea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Guvernului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nr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. 144/2010</w:t>
        </w:r>
      </w:hyperlink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funcționarea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Ministerului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Sănătății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, ale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 xml:space="preserve">art. 7 </w:t>
      </w:r>
      <w:proofErr w:type="spellStart"/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alin</w:t>
      </w:r>
      <w:proofErr w:type="spellEnd"/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. (5)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instrText xml:space="preserve"> HYPERLINK "http://legislatie.just.ro/Public/DetaliiDocumentAfis/226281" </w:instrTex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Ordonanța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urgență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Guvernului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nr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. 30/2007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end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funcționarea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Ministerului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Afacerilor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Interne,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aprobată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instrText xml:space="preserve"> HYPERLINK "http://legislatie.just.ro/Public/DetaliiDocumentAfis/89676" </w:instrTex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Legea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nr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. 15/2008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end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ale </w:t>
      </w:r>
      <w:hyperlink r:id="rId10" w:history="1"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art. 10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alin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. (4) </w:t>
        </w:r>
        <w:proofErr w:type="gram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din</w:t>
        </w:r>
        <w:proofErr w:type="gram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Hotărârea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Guvernului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nr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. 34/2009</w:t>
        </w:r>
      </w:hyperlink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funcționarea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Ministerului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Finanțelor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,ministrul</w:t>
      </w:r>
      <w:proofErr w:type="spellEnd"/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sănătății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ministrul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afacerilor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interne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ministrul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finanțelor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emit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următorul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1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Prezentul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reglementează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stabilire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categoriilor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personal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mărimii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concrete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condiții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pericol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deosebit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baza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hyperlink r:id="rId11" w:history="1"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art. 7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alin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. (1) </w:t>
        </w:r>
        <w:proofErr w:type="gram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din</w:t>
        </w:r>
        <w:proofErr w:type="gram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Legea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nr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. 56/2020</w:t>
        </w:r>
      </w:hyperlink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recunoașterea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meritelor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medical participant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împotriva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COVID-19.</w:t>
      </w:r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2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Sporul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prezentul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constituie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o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formă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diferențiere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salarizării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funcție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condițiile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specifice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desfășurare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activității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art. 3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3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Prezentul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aplică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următoarelor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categorii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personal:</w:t>
      </w:r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a</w:t>
      </w:r>
      <w:proofErr w:type="spellEnd"/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specialitate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medico-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auxiliar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unități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unități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asistență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medico-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lastRenderedPageBreak/>
        <w:t>instituții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indiferent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nivelul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subordonare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coordonare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farmacii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comunitare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cabinete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medicină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cabinete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medicină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dentară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indiferent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forma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precum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altor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furnizori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servicii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asistență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implicat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direct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misiuni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legate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prevenirea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gestionarea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combaterea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infecțiilor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COVID-19;</w:t>
      </w:r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b)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militare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-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paramedici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personal medical -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structurile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aflate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coordonarea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coordonarea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operațională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Departamentului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situații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urgență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Ministerului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Afacerilor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Interne,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implicat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direct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misiuni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legate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prevenirea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gestionarea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combaterea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infecțiilor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COVID-19;</w:t>
      </w:r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c)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pregătire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paramedicală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echipajelor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SMURD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specializate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primului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ajutor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calificat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potrivit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legii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aflat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finanțarea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autorităților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administrației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locale;</w:t>
      </w:r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d</w:t>
      </w:r>
      <w:proofErr w:type="spellEnd"/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tot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spitalelor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asigură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asistența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testați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faza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faza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II-a,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precum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spitalele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suport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testați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suspecți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reglementate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instrText xml:space="preserve"> HYPERLINK "http://legislatie.just.ro/Public/DetaliiDocumentAfis/226452" </w:instrTex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Ordinul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ministrului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sănătății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nr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. 555/2020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end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aprobarea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begin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instrText xml:space="preserve"> HYPERLINK "http://legislatie.just.ro/Public/DetaliiDocumentAfis/226453" </w:instrTex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Planului</w:t>
      </w:r>
      <w:proofErr w:type="spellEnd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386897"/>
          <w:sz w:val="23"/>
          <w:szCs w:val="23"/>
          <w:bdr w:val="none" w:sz="0" w:space="0" w:color="auto" w:frame="1"/>
        </w:rPr>
        <w:t>măsuri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fldChar w:fldCharType="end"/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pregătirea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spitalelor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contextul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epidemiei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coronavirus COVID-19,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Listei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spitalelor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asigură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asistența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testați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faza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faza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II-a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Listei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spitalele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suport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testați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suspecți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4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stabilit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prezentul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nu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medical care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dobândit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afecțiuni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fizice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psihice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devenit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invalid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cauza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participării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împotriva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COVID-19,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situația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rănirea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afecțiunea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fizică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psihică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invaliditatea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survenit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urmare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săvârșirii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intenție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infracțiuni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pedepsite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potrivit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legii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5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(1)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Mărimea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concretă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până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30%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condiții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pericol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deosebit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baza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hyperlink r:id="rId12" w:history="1"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art. 7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alin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. (1) </w:t>
        </w:r>
        <w:proofErr w:type="gram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din</w:t>
        </w:r>
        <w:proofErr w:type="gram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Legea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nr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bdr w:val="none" w:sz="0" w:space="0" w:color="auto" w:frame="1"/>
          </w:rPr>
          <w:t>. 56/2020</w:t>
        </w:r>
      </w:hyperlink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 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determină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funcție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condițiile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muncă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pot produce o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eventuală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infecție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art. 3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implicat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direct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indirect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executarea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conducerea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coordonarea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misiunilor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sarcinilor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serviciu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legate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prevenirea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gestionarea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combaterea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infecțiilor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COVID-19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.(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2)</w:t>
      </w:r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 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stabilirea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concretă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cotelor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procentelor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aprobate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prezentul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au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vedere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următoarele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criterii:</w:t>
      </w:r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a</w:t>
      </w:r>
      <w:proofErr w:type="spellEnd"/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transmitere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baza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dovezilor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disponibile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este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transmis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la om la om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contact direct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definit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conform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metodologiei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vigoare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picături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Flügge;</w:t>
      </w:r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b</w:t>
      </w:r>
      <w:proofErr w:type="spellEnd"/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riscul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contagiune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eventuale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infecții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accidentale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este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determinat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funcție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gradul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expunere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factorii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nocivi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asocierea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factori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precum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durata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expunere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factorilor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nocivi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;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persoanele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mai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risc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infecție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sunt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sunt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contact direct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testați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au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grijă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acești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</w:t>
      </w:r>
      <w:proofErr w:type="spellEnd"/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6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(1)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specialitate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medico-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auxiliar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art. 3 lit. a)-d)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inclusiv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cabinetele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stomatologie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urgență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asigură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asistență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primul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ajutor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calificat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/transport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testați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implică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un contact direct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lastRenderedPageBreak/>
        <w:t>pacienții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un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după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cum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urmează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a</w:t>
      </w:r>
      <w:proofErr w:type="spellEnd"/>
      <w:proofErr w:type="gramEnd"/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30%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simptomatici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forme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severe;</w:t>
      </w:r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b</w:t>
      </w:r>
      <w:proofErr w:type="spellEnd"/>
      <w:r w:rsidRPr="00783C7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25%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forme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decât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 xml:space="preserve">lit. </w:t>
      </w:r>
      <w:proofErr w:type="gramStart"/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</w:t>
      </w:r>
      <w:proofErr w:type="gramEnd"/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.(2)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specialitate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medico-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auxiliar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spitalelor-suport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art. 3 lit. d)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care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asigură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asistență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suspecți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implică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un contact direct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un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20%.(3)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specialitate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medico-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auxiliar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serviciilor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ambulanță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precum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art. 3 lit. b)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c)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asigură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suspecți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asistență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primul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ajutor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calificat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transport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către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unitățile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 xml:space="preserve">art. 3 lit. </w:t>
      </w:r>
      <w:proofErr w:type="gramStart"/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d</w:t>
      </w:r>
      <w:proofErr w:type="gramEnd"/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un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20%.(4)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specialitate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medico-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auxiliar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sanitar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art. 3 lit. a)-d)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 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desfășoară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realizare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triajului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clinico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-epidemiologic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recoltare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probelor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biologice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vederea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identificării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infectați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precum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vederea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realizării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diagnosticului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COVID-19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prelucrează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transportă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vederea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prelucrării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probele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recoltate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pacienți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suspecți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testați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SARS-CoV-2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un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15%.</w:t>
      </w:r>
    </w:p>
    <w:p w:rsidR="00C570C4" w:rsidRDefault="00C570C4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(5) Tot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unitățile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highlight w:val="cyan"/>
          <w:u w:val="single"/>
          <w:bdr w:val="none" w:sz="0" w:space="0" w:color="auto" w:frame="1"/>
        </w:rPr>
        <w:t>art. 3 lit. d)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 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dedicate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întregime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COVID-19,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perioada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există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internat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unitatea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respectivă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cel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puțin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un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pacient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testat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suspect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SARS-CoV-2,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beneficiază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de un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spor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de 10%.</w:t>
      </w:r>
    </w:p>
    <w:p w:rsidR="00C570C4" w:rsidRDefault="00C570C4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6) Tot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unitățile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highlight w:val="cyan"/>
          <w:u w:val="single"/>
          <w:bdr w:val="none" w:sz="0" w:space="0" w:color="auto" w:frame="1"/>
        </w:rPr>
        <w:t>art. 3 lit. d)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 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dedicate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parțial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COVID-19,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perioada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există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internat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unitatea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respectivă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cel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puțin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un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pacient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testat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pozitiv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suspect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virusul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SARS-CoV-2,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beneficiază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de un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>spor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cyan"/>
          <w:bdr w:val="none" w:sz="0" w:space="0" w:color="auto" w:frame="1"/>
        </w:rPr>
        <w:t xml:space="preserve"> de 5%.</w:t>
      </w:r>
    </w:p>
    <w:p w:rsidR="00C570C4" w:rsidRDefault="00C570C4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</w:p>
    <w:p w:rsidR="00C570C4" w:rsidRDefault="00783C73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</w:pP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7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(1)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Cuantumul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sporurilor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la art. 6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stabilește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conformitate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prevederile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 </w:t>
      </w:r>
      <w:hyperlink r:id="rId13" w:history="1"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 xml:space="preserve">art. 7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>alin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 xml:space="preserve">. (1) </w:t>
        </w:r>
        <w:proofErr w:type="gram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>din</w:t>
        </w:r>
        <w:proofErr w:type="gram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>Legea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>nr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>. 56/2020</w:t>
        </w:r>
      </w:hyperlink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aplicarea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cotei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procentuale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asupra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salariului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bază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soldei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funcție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salariului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funcție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din </w:t>
      </w:r>
      <w:proofErr w:type="spellStart"/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luna</w:t>
      </w:r>
      <w:proofErr w:type="spellEnd"/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respectivă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nu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ia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calcul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determinarea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limitei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la </w:t>
      </w:r>
      <w:hyperlink r:id="rId14" w:history="1"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 xml:space="preserve">art. 25 din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>Legea-cadru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 xml:space="preserve"> </w:t>
        </w:r>
        <w:proofErr w:type="spellStart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>nr</w:t>
        </w:r>
        <w:proofErr w:type="spellEnd"/>
        <w:r w:rsidRPr="00783C73">
          <w:rPr>
            <w:rFonts w:ascii="inherit" w:eastAsia="Times New Roman" w:hAnsi="inherit" w:cs="Times New Roman"/>
            <w:color w:val="386897"/>
            <w:sz w:val="23"/>
            <w:szCs w:val="23"/>
            <w:highlight w:val="yellow"/>
            <w:bdr w:val="none" w:sz="0" w:space="0" w:color="auto" w:frame="1"/>
          </w:rPr>
          <w:t>. 153/2017</w:t>
        </w:r>
      </w:hyperlink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privind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salarizarea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plătit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fonduri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publice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modificările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completările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ulterioare</w:t>
      </w:r>
      <w:proofErr w:type="spellEnd"/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.(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2)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Sporurile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prezentul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corespunzător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timpului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lucrat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vederea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desfășurării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fiecărei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activități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art. 6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Evidența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timpului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lucrat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efectiv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ore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zile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diferite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activități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procente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diferite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precum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certificarea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efectuării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acestuia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realizează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pontaj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către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șeful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fiecărei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structuri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aprobă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conducerea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unității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afișează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vizibil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accesibil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tot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.(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3)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programului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normal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lucru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lunar/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zilnic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desfășoară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fracționat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mai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multe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activități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art. 6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diferite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fiecare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proporțional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timpul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efectiv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lucrat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fiecare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parte</w:t>
      </w:r>
      <w:proofErr w:type="gram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.(</w:t>
      </w:r>
      <w:proofErr w:type="gram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4)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Sporurile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83C7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art. 6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 nu pot fi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cumulat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aceleiași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persoane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aceleași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norme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timp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lucrat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.(5) 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Nominalizarea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muncă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lastRenderedPageBreak/>
        <w:t>categoriile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personal,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mărimea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concretă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precum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condițiile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stabilesc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ordonatorul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credite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consultarea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sindicatelor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reprezentative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nivel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sindicatelor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afiliate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o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federație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reprezentativă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grup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unități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/sector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după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reprezentanților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salariaților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limita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prezentul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ordin.</w:t>
      </w:r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8</w:t>
      </w:r>
    </w:p>
    <w:p w:rsidR="00C570C4" w:rsidRDefault="00C570C4" w:rsidP="00783C7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</w:pPr>
    </w:p>
    <w:p w:rsidR="00C570C4" w:rsidRDefault="00783C73" w:rsidP="00C570C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Sporul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prevăzut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prezentul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acordă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până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la data de 14 august 2020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inclusiv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,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încadrarea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sumele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prevăzute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pentru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cheltuieli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de personal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aprobate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bugetul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de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venituri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cheltuieli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și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cu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respectarea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prevederilor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legale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vigoare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privind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salarizarea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personalului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plătit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din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fonduri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publice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highlight w:val="yellow"/>
          <w:bdr w:val="none" w:sz="0" w:space="0" w:color="auto" w:frame="1"/>
        </w:rPr>
        <w:t>.</w:t>
      </w:r>
    </w:p>
    <w:p w:rsidR="00C570C4" w:rsidRDefault="00C570C4" w:rsidP="00C570C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</w:p>
    <w:p w:rsidR="00C570C4" w:rsidRDefault="00783C73" w:rsidP="00C570C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9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Aplicabilitatea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prezentului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încetează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implicit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începând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data de 15 august 2020.</w:t>
      </w:r>
    </w:p>
    <w:p w:rsidR="00C570C4" w:rsidRDefault="00C570C4" w:rsidP="00C570C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</w:p>
    <w:p w:rsidR="00783C73" w:rsidRPr="00783C73" w:rsidRDefault="00783C73" w:rsidP="00C570C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Articolul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10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Prezentul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ordin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publică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Monitorul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Oficial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al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României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Partea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I.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Ministrul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sănătății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,</w:t>
      </w:r>
      <w:bookmarkStart w:id="0" w:name="_GoBack"/>
      <w:bookmarkEnd w:id="0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Nelu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Tătaru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Ministrul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afacerilor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interne,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Marcel Ion Vela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Ministrul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finanțelor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publice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,</w:t>
      </w:r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Vasile</w:t>
      </w:r>
      <w:proofErr w:type="spellEnd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 xml:space="preserve">-Florin </w:t>
      </w:r>
      <w:proofErr w:type="spellStart"/>
      <w:r w:rsidRPr="00783C73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</w:rPr>
        <w:t>Cîțu</w:t>
      </w:r>
      <w:proofErr w:type="spellEnd"/>
      <w:r w:rsidRPr="00783C7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----</w:t>
      </w:r>
    </w:p>
    <w:p w:rsidR="00783C73" w:rsidRPr="00783C73" w:rsidRDefault="00783C73" w:rsidP="00783C73">
      <w:pPr>
        <w:numPr>
          <w:ilvl w:val="0"/>
          <w:numId w:val="1"/>
        </w:numPr>
        <w:shd w:val="clear" w:color="auto" w:fill="003263"/>
        <w:spacing w:after="0" w:line="240" w:lineRule="auto"/>
        <w:ind w:left="-1050"/>
        <w:jc w:val="center"/>
        <w:textAlignment w:val="baseline"/>
        <w:rPr>
          <w:rFonts w:ascii="Arial" w:eastAsia="Times New Roman" w:hAnsi="Arial" w:cs="Arial"/>
          <w:caps/>
          <w:color w:val="FFFFFF"/>
          <w:sz w:val="18"/>
          <w:szCs w:val="18"/>
        </w:rPr>
      </w:pPr>
      <w:r w:rsidRPr="00783C73">
        <w:rPr>
          <w:rFonts w:ascii="Arial" w:eastAsia="Times New Roman" w:hAnsi="Arial" w:cs="Arial"/>
          <w:caps/>
          <w:color w:val="FFFFFF"/>
          <w:sz w:val="18"/>
          <w:szCs w:val="18"/>
        </w:rPr>
        <w:br/>
      </w:r>
      <w:r w:rsidRPr="00783C73">
        <w:rPr>
          <w:rFonts w:ascii="inherit" w:eastAsia="Times New Roman" w:hAnsi="inherit" w:cs="Times New Roman"/>
          <w:noProof/>
          <w:color w:val="000000"/>
          <w:sz w:val="23"/>
          <w:szCs w:val="23"/>
        </w:rPr>
        <w:drawing>
          <wp:anchor distT="0" distB="0" distL="0" distR="0" simplePos="0" relativeHeight="251659264" behindDoc="0" locked="0" layoutInCell="1" allowOverlap="0" wp14:anchorId="20DBFEFD" wp14:editId="4F2020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C73" w:rsidRPr="00783C73" w:rsidRDefault="00783C73" w:rsidP="00783C73">
      <w:pPr>
        <w:shd w:val="clear" w:color="auto" w:fill="003263"/>
        <w:spacing w:after="0" w:line="240" w:lineRule="auto"/>
        <w:ind w:left="-1050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proofErr w:type="spellStart"/>
      <w:r w:rsidRPr="00783C73">
        <w:rPr>
          <w:rFonts w:ascii="Arial" w:eastAsia="Times New Roman" w:hAnsi="Arial" w:cs="Arial"/>
          <w:color w:val="FFFFFF"/>
          <w:sz w:val="18"/>
          <w:szCs w:val="18"/>
        </w:rPr>
        <w:t>Conținutul</w:t>
      </w:r>
      <w:proofErr w:type="spellEnd"/>
      <w:r w:rsidRPr="00783C73">
        <w:rPr>
          <w:rFonts w:ascii="Arial" w:eastAsia="Times New Roman" w:hAnsi="Arial" w:cs="Arial"/>
          <w:color w:val="FFFFFF"/>
          <w:sz w:val="18"/>
          <w:szCs w:val="18"/>
        </w:rPr>
        <w:t xml:space="preserve"> </w:t>
      </w:r>
      <w:proofErr w:type="spellStart"/>
      <w:r w:rsidRPr="00783C73">
        <w:rPr>
          <w:rFonts w:ascii="Arial" w:eastAsia="Times New Roman" w:hAnsi="Arial" w:cs="Arial"/>
          <w:color w:val="FFFFFF"/>
          <w:sz w:val="18"/>
          <w:szCs w:val="18"/>
        </w:rPr>
        <w:t>acestui</w:t>
      </w:r>
      <w:proofErr w:type="spellEnd"/>
      <w:r w:rsidRPr="00783C73">
        <w:rPr>
          <w:rFonts w:ascii="Arial" w:eastAsia="Times New Roman" w:hAnsi="Arial" w:cs="Arial"/>
          <w:color w:val="FFFFFF"/>
          <w:sz w:val="18"/>
          <w:szCs w:val="18"/>
        </w:rPr>
        <w:t xml:space="preserve"> material nu </w:t>
      </w:r>
      <w:proofErr w:type="spellStart"/>
      <w:r w:rsidRPr="00783C73">
        <w:rPr>
          <w:rFonts w:ascii="Arial" w:eastAsia="Times New Roman" w:hAnsi="Arial" w:cs="Arial"/>
          <w:color w:val="FFFFFF"/>
          <w:sz w:val="18"/>
          <w:szCs w:val="18"/>
        </w:rPr>
        <w:t>reprezintă</w:t>
      </w:r>
      <w:proofErr w:type="spellEnd"/>
      <w:r w:rsidRPr="00783C73">
        <w:rPr>
          <w:rFonts w:ascii="Arial" w:eastAsia="Times New Roman" w:hAnsi="Arial" w:cs="Arial"/>
          <w:color w:val="FFFFFF"/>
          <w:sz w:val="18"/>
          <w:szCs w:val="18"/>
        </w:rPr>
        <w:t xml:space="preserve"> </w:t>
      </w:r>
      <w:proofErr w:type="spellStart"/>
      <w:r w:rsidRPr="00783C73">
        <w:rPr>
          <w:rFonts w:ascii="Arial" w:eastAsia="Times New Roman" w:hAnsi="Arial" w:cs="Arial"/>
          <w:color w:val="FFFFFF"/>
          <w:sz w:val="18"/>
          <w:szCs w:val="18"/>
        </w:rPr>
        <w:t>în</w:t>
      </w:r>
      <w:proofErr w:type="spellEnd"/>
      <w:r w:rsidRPr="00783C73">
        <w:rPr>
          <w:rFonts w:ascii="Arial" w:eastAsia="Times New Roman" w:hAnsi="Arial" w:cs="Arial"/>
          <w:color w:val="FFFFFF"/>
          <w:sz w:val="18"/>
          <w:szCs w:val="18"/>
        </w:rPr>
        <w:t xml:space="preserve"> mod </w:t>
      </w:r>
      <w:proofErr w:type="spellStart"/>
      <w:r w:rsidRPr="00783C73">
        <w:rPr>
          <w:rFonts w:ascii="Arial" w:eastAsia="Times New Roman" w:hAnsi="Arial" w:cs="Arial"/>
          <w:color w:val="FFFFFF"/>
          <w:sz w:val="18"/>
          <w:szCs w:val="18"/>
        </w:rPr>
        <w:t>obligatoriu</w:t>
      </w:r>
      <w:proofErr w:type="spellEnd"/>
      <w:r w:rsidRPr="00783C73">
        <w:rPr>
          <w:rFonts w:ascii="Arial" w:eastAsia="Times New Roman" w:hAnsi="Arial" w:cs="Arial"/>
          <w:color w:val="FFFFFF"/>
          <w:sz w:val="18"/>
          <w:szCs w:val="18"/>
        </w:rPr>
        <w:t xml:space="preserve"> </w:t>
      </w:r>
      <w:proofErr w:type="spellStart"/>
      <w:r w:rsidRPr="00783C73">
        <w:rPr>
          <w:rFonts w:ascii="Arial" w:eastAsia="Times New Roman" w:hAnsi="Arial" w:cs="Arial"/>
          <w:color w:val="FFFFFF"/>
          <w:sz w:val="18"/>
          <w:szCs w:val="18"/>
        </w:rPr>
        <w:t>poziția</w:t>
      </w:r>
      <w:proofErr w:type="spellEnd"/>
      <w:r w:rsidRPr="00783C73">
        <w:rPr>
          <w:rFonts w:ascii="Arial" w:eastAsia="Times New Roman" w:hAnsi="Arial" w:cs="Arial"/>
          <w:color w:val="FFFFFF"/>
          <w:sz w:val="18"/>
          <w:szCs w:val="18"/>
        </w:rPr>
        <w:t xml:space="preserve"> </w:t>
      </w:r>
      <w:proofErr w:type="spellStart"/>
      <w:r w:rsidRPr="00783C73">
        <w:rPr>
          <w:rFonts w:ascii="Arial" w:eastAsia="Times New Roman" w:hAnsi="Arial" w:cs="Arial"/>
          <w:color w:val="FFFFFF"/>
          <w:sz w:val="18"/>
          <w:szCs w:val="18"/>
        </w:rPr>
        <w:t>ofi</w:t>
      </w:r>
      <w:proofErr w:type="spellEnd"/>
    </w:p>
    <w:p w:rsidR="00D55D91" w:rsidRDefault="00D55D91"/>
    <w:sectPr w:rsidR="00D5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3CE5"/>
    <w:multiLevelType w:val="multilevel"/>
    <w:tmpl w:val="CD3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73"/>
    <w:rsid w:val="00783C73"/>
    <w:rsid w:val="00C570C4"/>
    <w:rsid w:val="00D5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CB53-ED4F-491C-855D-CFFFF5F0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3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66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6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73621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726">
              <w:marLeft w:val="0"/>
              <w:marRight w:val="0"/>
              <w:marTop w:val="1500"/>
              <w:marBottom w:val="0"/>
              <w:divBdr>
                <w:top w:val="single" w:sz="6" w:space="30" w:color="E5E5E5"/>
                <w:left w:val="none" w:sz="0" w:space="0" w:color="auto"/>
                <w:bottom w:val="none" w:sz="0" w:space="30" w:color="auto"/>
                <w:right w:val="none" w:sz="0" w:space="0" w:color="auto"/>
              </w:divBdr>
              <w:divsChild>
                <w:div w:id="408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5820" TargetMode="External"/><Relationship Id="rId13" Type="http://schemas.openxmlformats.org/officeDocument/2006/relationships/hyperlink" Target="http://legislatie.just.ro/Public/DetaliiDocumentAfis/225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5820" TargetMode="External"/><Relationship Id="rId12" Type="http://schemas.openxmlformats.org/officeDocument/2006/relationships/hyperlink" Target="http://legislatie.just.ro/Public/DetaliiDocumentAfis/2258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25820" TargetMode="External"/><Relationship Id="rId11" Type="http://schemas.openxmlformats.org/officeDocument/2006/relationships/hyperlink" Target="http://legislatie.just.ro/Public/DetaliiDocumentAfis/225820" TargetMode="External"/><Relationship Id="rId5" Type="http://schemas.openxmlformats.org/officeDocument/2006/relationships/hyperlink" Target="http://legislatie.just.ro/Public/DetaliiDocumentAfis/225820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legislatie.just.ro/Public/DetaliiDocumentAfis/225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25636" TargetMode="External"/><Relationship Id="rId14" Type="http://schemas.openxmlformats.org/officeDocument/2006/relationships/hyperlink" Target="http://legislatie.just.ro/Public/DetaliiDocumentAfis/225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Zeleni Sombor</dc:creator>
  <cp:keywords/>
  <dc:description/>
  <cp:lastModifiedBy>Zeleni Sombor</cp:lastModifiedBy>
  <cp:revision>2</cp:revision>
  <dcterms:created xsi:type="dcterms:W3CDTF">2020-07-06T05:39:00Z</dcterms:created>
  <dcterms:modified xsi:type="dcterms:W3CDTF">2020-07-07T06:33:00Z</dcterms:modified>
</cp:coreProperties>
</file>